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BDD7" w14:textId="09212F10" w:rsidR="00196AC4" w:rsidRDefault="008B7FB0">
      <w:r>
        <w:object w:dxaOrig="16473" w:dyaOrig="3209" w14:anchorId="40CA7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153.75pt" o:ole="">
            <v:imagedata r:id="rId5" o:title=""/>
          </v:shape>
          <o:OLEObject Type="Embed" ProgID="Excel.Sheet.12" ShapeID="_x0000_i1025" DrawAspect="Content" ObjectID="_1654283588" r:id="rId6"/>
        </w:object>
      </w:r>
    </w:p>
    <w:p w14:paraId="456BB986" w14:textId="77777777" w:rsidR="00246AC2" w:rsidRDefault="00246AC2" w:rsidP="00246AC2">
      <w:r>
        <w:t>Notes:</w:t>
      </w:r>
      <w:r>
        <w:tab/>
      </w:r>
    </w:p>
    <w:p w14:paraId="47F3312A" w14:textId="5FEE86C6" w:rsidR="00246AC2" w:rsidRDefault="00246AC2" w:rsidP="00246AC2">
      <w:pPr>
        <w:pStyle w:val="ListParagraph"/>
        <w:numPr>
          <w:ilvl w:val="0"/>
          <w:numId w:val="2"/>
        </w:numPr>
      </w:pPr>
      <w:r w:rsidRPr="00CB71E5">
        <w:rPr>
          <w:b/>
          <w:bCs/>
        </w:rPr>
        <w:t>BAF</w:t>
      </w:r>
      <w:r>
        <w:t xml:space="preserve"> is going to be renamed as "</w:t>
      </w:r>
      <w:r w:rsidRPr="00CB71E5">
        <w:rPr>
          <w:b/>
          <w:bCs/>
        </w:rPr>
        <w:t>WAM Alternatives</w:t>
      </w:r>
      <w:r>
        <w:t xml:space="preserve">" and the ticker code will be changed, possibly to </w:t>
      </w:r>
      <w:r w:rsidRPr="00CB71E5">
        <w:rPr>
          <w:b/>
          <w:bCs/>
        </w:rPr>
        <w:t>WAL</w:t>
      </w:r>
      <w:r>
        <w:t>.  The next step is the BAF shareholders vote (to ratify the management change) which should be soon.</w:t>
      </w:r>
      <w:r>
        <w:tab/>
      </w:r>
    </w:p>
    <w:p w14:paraId="5CB53890" w14:textId="54AC7B8A" w:rsidR="008B7FB0" w:rsidRPr="008B7FB0" w:rsidRDefault="008B7FB0" w:rsidP="00246AC2">
      <w:pPr>
        <w:pStyle w:val="ListParagraph"/>
        <w:numPr>
          <w:ilvl w:val="0"/>
          <w:numId w:val="2"/>
        </w:numPr>
      </w:pPr>
      <w:r w:rsidRPr="008B7FB0">
        <w:t>Profit Reserves, Dividends and Cash Levels are all accurate as at 31-May-2020.</w:t>
      </w:r>
    </w:p>
    <w:p w14:paraId="189C82E4" w14:textId="5DDD4E95" w:rsidR="00246AC2" w:rsidRDefault="00246AC2" w:rsidP="00246AC2">
      <w:pPr>
        <w:pStyle w:val="ListParagraph"/>
        <w:numPr>
          <w:ilvl w:val="0"/>
          <w:numId w:val="2"/>
        </w:numPr>
      </w:pPr>
      <w:r w:rsidRPr="00CB71E5">
        <w:rPr>
          <w:b/>
          <w:bCs/>
        </w:rPr>
        <w:t>WAM Capital (WAM)</w:t>
      </w:r>
      <w:r>
        <w:t xml:space="preserve"> clearly presents as the </w:t>
      </w:r>
      <w:r w:rsidRPr="00246AC2">
        <w:rPr>
          <w:b/>
          <w:bCs/>
          <w:u w:val="single"/>
        </w:rPr>
        <w:t>worst</w:t>
      </w:r>
      <w:r>
        <w:t xml:space="preserve"> value buy at today's prices, as they are trading at a </w:t>
      </w:r>
      <w:r w:rsidRPr="00CB71E5">
        <w:rPr>
          <w:b/>
          <w:bCs/>
        </w:rPr>
        <w:t>premium-to-NTA of over 20%</w:t>
      </w:r>
      <w:r>
        <w:t xml:space="preserve"> and </w:t>
      </w:r>
      <w:r w:rsidRPr="00CB71E5">
        <w:rPr>
          <w:b/>
          <w:bCs/>
        </w:rPr>
        <w:t>have less than one dividend in their profit reserve, so their dividends are likely to reduce.</w:t>
      </w:r>
    </w:p>
    <w:p w14:paraId="4DA1AE99" w14:textId="77777777" w:rsidR="00246AC2" w:rsidRDefault="00246AC2" w:rsidP="00246AC2">
      <w:pPr>
        <w:pStyle w:val="ListParagraph"/>
        <w:numPr>
          <w:ilvl w:val="0"/>
          <w:numId w:val="2"/>
        </w:numPr>
      </w:pPr>
      <w:r>
        <w:t xml:space="preserve">While </w:t>
      </w:r>
      <w:r w:rsidRPr="00CB71E5">
        <w:rPr>
          <w:b/>
          <w:bCs/>
        </w:rPr>
        <w:t>WAM Research (WAX)</w:t>
      </w:r>
      <w:r>
        <w:t xml:space="preserve"> has a much better dividend reserve, they are trading at the </w:t>
      </w:r>
      <w:r w:rsidRPr="00CB71E5">
        <w:rPr>
          <w:b/>
          <w:bCs/>
        </w:rPr>
        <w:t>largest premium</w:t>
      </w:r>
      <w:r>
        <w:t xml:space="preserve"> of </w:t>
      </w:r>
      <w:r w:rsidRPr="00CB71E5">
        <w:rPr>
          <w:b/>
          <w:bCs/>
        </w:rPr>
        <w:t xml:space="preserve">almost 40%, </w:t>
      </w:r>
      <w:r>
        <w:t xml:space="preserve">which is </w:t>
      </w:r>
      <w:proofErr w:type="gramStart"/>
      <w:r>
        <w:t>just crazy</w:t>
      </w:r>
      <w:proofErr w:type="gramEnd"/>
      <w:r>
        <w:t>.</w:t>
      </w:r>
    </w:p>
    <w:p w14:paraId="095749E9" w14:textId="77777777" w:rsidR="00246AC2" w:rsidRDefault="00246AC2" w:rsidP="005E6FAE">
      <w:pPr>
        <w:pStyle w:val="ListParagraph"/>
        <w:numPr>
          <w:ilvl w:val="0"/>
          <w:numId w:val="2"/>
        </w:numPr>
      </w:pPr>
      <w:r w:rsidRPr="00CB71E5">
        <w:rPr>
          <w:b/>
          <w:bCs/>
        </w:rPr>
        <w:t>WAM Global (WGB)</w:t>
      </w:r>
      <w:r>
        <w:t xml:space="preserve"> presents as the </w:t>
      </w:r>
      <w:r w:rsidRPr="00CB71E5">
        <w:rPr>
          <w:b/>
          <w:bCs/>
          <w:u w:val="single"/>
        </w:rPr>
        <w:t>best</w:t>
      </w:r>
      <w:r>
        <w:t xml:space="preserve"> value.  They are trading at the </w:t>
      </w:r>
      <w:r w:rsidRPr="00CB71E5">
        <w:rPr>
          <w:b/>
          <w:bCs/>
        </w:rPr>
        <w:t>largest discount to NTA</w:t>
      </w:r>
      <w:r>
        <w:t xml:space="preserve"> (other than BAF) and have </w:t>
      </w:r>
      <w:r w:rsidRPr="00CB71E5">
        <w:rPr>
          <w:b/>
          <w:bCs/>
        </w:rPr>
        <w:t>plenty in their profit reserve</w:t>
      </w:r>
      <w:r>
        <w:t xml:space="preserve"> as well.</w:t>
      </w:r>
      <w:r>
        <w:tab/>
      </w:r>
    </w:p>
    <w:p w14:paraId="2D446D16" w14:textId="382657DC" w:rsidR="00246AC2" w:rsidRDefault="00246AC2" w:rsidP="00E5310E">
      <w:pPr>
        <w:pStyle w:val="ListParagraph"/>
        <w:numPr>
          <w:ilvl w:val="0"/>
          <w:numId w:val="2"/>
        </w:numPr>
      </w:pPr>
      <w:r>
        <w:t>For those with a little higher risk tolerance, BAF looks good, trading at a discount of over 30% and cash represents over one quarter (26.2%) of their portfolio, so their dividends look secure.</w:t>
      </w:r>
      <w:r w:rsidR="008B7FB0">
        <w:t xml:space="preserve">  </w:t>
      </w:r>
      <w:r>
        <w:t>On top of the discount and the cash levels, another big positive should be the "Wilson effect" when BAF is renamed as "W</w:t>
      </w:r>
      <w:r w:rsidR="009B6E1B">
        <w:t>AM</w:t>
      </w:r>
      <w:r>
        <w:t xml:space="preserve"> Alternatives" and gets a new ticker code.</w:t>
      </w:r>
    </w:p>
    <w:p w14:paraId="36420D49" w14:textId="33ED2F82" w:rsidR="00246AC2" w:rsidRDefault="00246AC2" w:rsidP="00246AC2">
      <w:pPr>
        <w:pStyle w:val="ListParagraph"/>
        <w:numPr>
          <w:ilvl w:val="0"/>
          <w:numId w:val="2"/>
        </w:numPr>
      </w:pPr>
      <w:r>
        <w:t xml:space="preserve">After BAF &amp; WGB, the next best LICs in the Wilson stable - to be buying at current prices - look like </w:t>
      </w:r>
      <w:r w:rsidRPr="00CB71E5">
        <w:rPr>
          <w:b/>
          <w:bCs/>
        </w:rPr>
        <w:t>WLE and WMI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AC2" w:rsidSect="008B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D4FB8"/>
    <w:multiLevelType w:val="hybridMultilevel"/>
    <w:tmpl w:val="3B8A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7CDF"/>
    <w:multiLevelType w:val="hybridMultilevel"/>
    <w:tmpl w:val="7C7E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72"/>
    <w:rsid w:val="0009131B"/>
    <w:rsid w:val="00196AC4"/>
    <w:rsid w:val="00246AC2"/>
    <w:rsid w:val="008B7FB0"/>
    <w:rsid w:val="00964372"/>
    <w:rsid w:val="009B6E1B"/>
    <w:rsid w:val="00CB71E5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126F"/>
  <w15:chartTrackingRefBased/>
  <w15:docId w15:val="{1DC1B63C-725D-4473-A1D2-DB2F1092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Cohen</dc:creator>
  <cp:keywords/>
  <dc:description/>
  <cp:lastModifiedBy>John Cohen</cp:lastModifiedBy>
  <cp:revision>2</cp:revision>
  <dcterms:created xsi:type="dcterms:W3CDTF">2020-06-21T12:57:00Z</dcterms:created>
  <dcterms:modified xsi:type="dcterms:W3CDTF">2020-06-21T12:57:00Z</dcterms:modified>
</cp:coreProperties>
</file>