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3CF7" w14:textId="7C68D35A" w:rsidR="00196AC4" w:rsidRDefault="005624F3">
      <w:r>
        <w:t>From the July 2020 Investment Update from WAM Funds:</w:t>
      </w:r>
    </w:p>
    <w:p w14:paraId="5C810F24" w14:textId="0B3B3BA0" w:rsidR="005624F3" w:rsidRDefault="005624F3">
      <w:r w:rsidRPr="005624F3">
        <w:rPr>
          <w:noProof/>
        </w:rPr>
        <w:drawing>
          <wp:inline distT="0" distB="0" distL="0" distR="0" wp14:anchorId="5A366296" wp14:editId="5D944B92">
            <wp:extent cx="3533775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6A7E" w14:textId="77777777" w:rsidR="005624F3" w:rsidRDefault="005624F3">
      <w:r>
        <w:t xml:space="preserve">For the full Investment Update – see here: </w:t>
      </w:r>
    </w:p>
    <w:p w14:paraId="7A6B201E" w14:textId="05BD3FA4" w:rsidR="005624F3" w:rsidRDefault="005624F3">
      <w:hyperlink r:id="rId5" w:history="1">
        <w:r w:rsidRPr="004A4A23">
          <w:rPr>
            <w:rStyle w:val="Hyperlink"/>
          </w:rPr>
          <w:t>https://wilsonassetmanagement.com.au/wp-content/uploads/2020/07/1.-July-2020_NTAv2.pdf</w:t>
        </w:r>
      </w:hyperlink>
    </w:p>
    <w:p w14:paraId="017CA177" w14:textId="77777777" w:rsidR="005624F3" w:rsidRDefault="005624F3"/>
    <w:sectPr w:rsidR="0056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24F3"/>
    <w:rsid w:val="00196AC4"/>
    <w:rsid w:val="005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A8D7"/>
  <w15:chartTrackingRefBased/>
  <w15:docId w15:val="{960C4339-E612-41BD-852E-991DAE2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lsonassetmanagement.com.au/wp-content/uploads/2020/07/1.-July-2020_NTAv2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Cohen</dc:creator>
  <cp:keywords/>
  <dc:description/>
  <cp:lastModifiedBy>John Cohen</cp:lastModifiedBy>
  <cp:revision>1</cp:revision>
  <dcterms:created xsi:type="dcterms:W3CDTF">2020-08-15T07:25:00Z</dcterms:created>
  <dcterms:modified xsi:type="dcterms:W3CDTF">2020-08-15T07:27:00Z</dcterms:modified>
</cp:coreProperties>
</file>